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107</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308718</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Inchon</w:t>
      </w:r>
      <w:r>
        <w:rPr>
          <w:rFonts w:ascii="Arial" w:hAnsi="Arial" w:eastAsia="宋体"/>
          <w:b/>
          <w:color w:val="auto"/>
          <w:sz w:val="24"/>
          <w:lang w:eastAsia="zh-CN"/>
        </w:rPr>
        <w:t>,</w:t>
      </w:r>
      <w:r>
        <w:rPr>
          <w:rFonts w:hint="eastAsia" w:ascii="Arial" w:hAnsi="Arial" w:eastAsia="宋体"/>
          <w:b/>
          <w:color w:val="auto"/>
          <w:sz w:val="24"/>
          <w:lang w:val="en-US" w:eastAsia="zh-CN"/>
        </w:rPr>
        <w:t xml:space="preserve"> Korea,</w:t>
      </w:r>
      <w:r>
        <w:rPr>
          <w:rFonts w:hint="eastAsia" w:ascii="Arial" w:hAnsi="Arial" w:eastAsia="宋体" w:cs="Arial"/>
          <w:b/>
          <w:sz w:val="24"/>
          <w:szCs w:val="24"/>
          <w:highlight w:val="none"/>
          <w:lang w:val="en-US" w:eastAsia="zh-CN"/>
        </w:rPr>
        <w:t xml:space="preserve"> 22 </w:t>
      </w:r>
      <w:r>
        <w:rPr>
          <w:rFonts w:ascii="Arial" w:hAnsi="Arial" w:cs="Arial"/>
          <w:b/>
          <w:bCs/>
          <w:sz w:val="24"/>
          <w:szCs w:val="24"/>
        </w:rPr>
        <w:t>–</w:t>
      </w:r>
      <w:r>
        <w:rPr>
          <w:rFonts w:hint="eastAsia" w:ascii="Arial" w:hAnsi="Arial" w:eastAsia="宋体" w:cs="Arial"/>
          <w:b/>
          <w:sz w:val="24"/>
          <w:szCs w:val="24"/>
          <w:highlight w:val="none"/>
          <w:lang w:val="en-US" w:eastAsia="zh-CN"/>
        </w:rPr>
        <w:t xml:space="preserve"> 26 May</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the L1 part enhancement for FR2 SCell activation delay reduction</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8.9.2.2</w:t>
      </w:r>
      <w:bookmarkStart w:id="0" w:name="_GoBack"/>
      <w:bookmarkEnd w:id="0"/>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widowControl w:val="0"/>
        <w:numPr>
          <w:ilvl w:val="0"/>
          <w:numId w:val="0"/>
        </w:numPr>
        <w:jc w:val="both"/>
        <w:rPr>
          <w:rFonts w:hint="eastAsia" w:eastAsia="宋体"/>
          <w:color w:val="auto"/>
          <w:sz w:val="20"/>
          <w:szCs w:val="20"/>
          <w:lang w:val="en-US" w:eastAsia="zh-CN"/>
        </w:rPr>
      </w:pPr>
      <w:r>
        <w:rPr>
          <w:rFonts w:hint="eastAsia" w:eastAsia="宋体"/>
          <w:color w:val="auto"/>
          <w:sz w:val="20"/>
          <w:szCs w:val="20"/>
          <w:lang w:val="en-US" w:eastAsia="zh-CN"/>
        </w:rPr>
        <w:t xml:space="preserve">During last meeting, RAN4 had spread some discussion focus on L1 part of unknown FR2 SCell activation reduction. The following agreements were achieved in [1].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eastAsia="宋体"/>
                <w:b/>
                <w:color w:val="0070C0"/>
                <w:sz w:val="20"/>
                <w:szCs w:val="20"/>
                <w:u w:val="single"/>
                <w:lang w:val="en-GB" w:eastAsia="ko-KR"/>
              </w:rPr>
            </w:pPr>
            <w:r>
              <w:rPr>
                <w:rFonts w:eastAsia="宋体"/>
                <w:b/>
                <w:color w:val="0070C0"/>
                <w:sz w:val="20"/>
                <w:szCs w:val="20"/>
                <w:u w:val="single"/>
                <w:lang w:val="en-GB" w:eastAsia="ko-KR"/>
              </w:rPr>
              <w:t>Issue 2-4-1: Other enhancement for L1 part</w:t>
            </w:r>
          </w:p>
          <w:p>
            <w:pPr>
              <w:spacing w:after="120"/>
              <w:ind w:left="154" w:hanging="151"/>
              <w:rPr>
                <w:rFonts w:eastAsiaTheme="minorEastAsia"/>
                <w:sz w:val="20"/>
                <w:szCs w:val="20"/>
              </w:rPr>
            </w:pPr>
            <w:r>
              <w:rPr>
                <w:rFonts w:eastAsiaTheme="minorEastAsia"/>
                <w:sz w:val="20"/>
                <w:szCs w:val="20"/>
                <w:highlight w:val="green"/>
              </w:rPr>
              <w:t>Agreement</w:t>
            </w:r>
            <w:r>
              <w:rPr>
                <w:rFonts w:eastAsiaTheme="minorEastAsia"/>
                <w:sz w:val="20"/>
                <w:szCs w:val="20"/>
              </w:rPr>
              <w:t>:</w:t>
            </w:r>
          </w:p>
          <w:p>
            <w:pPr>
              <w:pStyle w:val="28"/>
              <w:widowControl/>
              <w:numPr>
                <w:ilvl w:val="0"/>
                <w:numId w:val="3"/>
              </w:numPr>
              <w:overflowPunct w:val="0"/>
              <w:autoSpaceDE w:val="0"/>
              <w:autoSpaceDN w:val="0"/>
              <w:adjustRightInd w:val="0"/>
              <w:spacing w:after="120" w:line="240" w:lineRule="auto"/>
              <w:ind w:firstLineChars="0"/>
              <w:jc w:val="both"/>
              <w:textAlignment w:val="baseline"/>
              <w:rPr>
                <w:bCs/>
                <w:sz w:val="20"/>
                <w:szCs w:val="20"/>
                <w:lang w:val="en-US"/>
              </w:rPr>
            </w:pPr>
            <w:r>
              <w:rPr>
                <w:bCs/>
                <w:sz w:val="20"/>
                <w:szCs w:val="20"/>
                <w:lang w:val="en-US"/>
              </w:rPr>
              <w:t>The L1-RSRP reporting based on a smaller beam sweeping factor shall fulfil the performance requirements as specified in TS38.133 clause 10.1.20.1.</w:t>
            </w:r>
          </w:p>
          <w:p>
            <w:pPr>
              <w:pStyle w:val="28"/>
              <w:widowControl/>
              <w:numPr>
                <w:ilvl w:val="0"/>
                <w:numId w:val="3"/>
              </w:numPr>
              <w:overflowPunct w:val="0"/>
              <w:autoSpaceDE w:val="0"/>
              <w:autoSpaceDN w:val="0"/>
              <w:adjustRightInd w:val="0"/>
              <w:spacing w:after="120" w:line="240" w:lineRule="auto"/>
              <w:ind w:firstLineChars="0"/>
              <w:jc w:val="both"/>
              <w:textAlignment w:val="baseline"/>
              <w:rPr>
                <w:rFonts w:hint="default" w:eastAsia="宋体"/>
                <w:color w:val="auto"/>
                <w:sz w:val="20"/>
                <w:szCs w:val="20"/>
                <w:vertAlign w:val="baseline"/>
                <w:lang w:val="en-US" w:eastAsia="zh-CN"/>
              </w:rPr>
            </w:pPr>
            <w:r>
              <w:rPr>
                <w:bCs/>
                <w:sz w:val="20"/>
                <w:szCs w:val="20"/>
                <w:lang w:val="en-US"/>
              </w:rPr>
              <w:t>Whether and how to capture above bullet into the spec can be discussed during CR stage.</w:t>
            </w:r>
          </w:p>
        </w:tc>
      </w:tr>
    </w:tbl>
    <w:p>
      <w:pPr>
        <w:widowControl w:val="0"/>
        <w:numPr>
          <w:ilvl w:val="0"/>
          <w:numId w:val="0"/>
        </w:numPr>
        <w:jc w:val="both"/>
        <w:rPr>
          <w:rFonts w:hint="eastAsia" w:eastAsia="宋体"/>
          <w:color w:val="auto"/>
          <w:sz w:val="20"/>
          <w:szCs w:val="20"/>
          <w:lang w:val="en-US" w:eastAsia="zh-CN"/>
        </w:rPr>
      </w:pPr>
      <w:r>
        <w:rPr>
          <w:rFonts w:hint="eastAsia" w:eastAsia="宋体"/>
          <w:color w:val="auto"/>
          <w:sz w:val="20"/>
          <w:szCs w:val="20"/>
          <w:lang w:val="en-US" w:eastAsia="zh-CN"/>
        </w:rPr>
        <w:t>However for other issues, still suspending. In this document, we provide some analysis focused on the following suspending issues around L1 part enhancement.</w:t>
      </w:r>
    </w:p>
    <w:p>
      <w:pPr>
        <w:widowControl w:val="0"/>
        <w:numPr>
          <w:ilvl w:val="0"/>
          <w:numId w:val="5"/>
        </w:numPr>
        <w:ind w:left="420" w:leftChars="0" w:hanging="420" w:firstLineChars="0"/>
        <w:jc w:val="both"/>
        <w:rPr>
          <w:rFonts w:hint="default" w:eastAsia="宋体"/>
          <w:color w:val="auto"/>
          <w:sz w:val="20"/>
          <w:szCs w:val="20"/>
          <w:lang w:val="en-US" w:eastAsia="zh-CN"/>
        </w:rPr>
      </w:pPr>
      <w:r>
        <w:rPr>
          <w:rFonts w:hint="default" w:eastAsia="宋体"/>
          <w:color w:val="auto"/>
          <w:sz w:val="20"/>
          <w:szCs w:val="20"/>
          <w:lang w:val="en-US" w:eastAsia="zh-CN"/>
        </w:rPr>
        <w:t>Whether and how to skip L1-RSRP measurement</w:t>
      </w:r>
    </w:p>
    <w:p>
      <w:pPr>
        <w:widowControl w:val="0"/>
        <w:numPr>
          <w:ilvl w:val="0"/>
          <w:numId w:val="5"/>
        </w:numPr>
        <w:ind w:left="420" w:leftChars="0" w:hanging="420" w:firstLineChars="0"/>
        <w:jc w:val="both"/>
        <w:rPr>
          <w:rFonts w:hint="default" w:eastAsia="宋体"/>
          <w:color w:val="auto"/>
          <w:sz w:val="20"/>
          <w:szCs w:val="20"/>
          <w:lang w:val="en-US" w:eastAsia="zh-CN"/>
        </w:rPr>
      </w:pPr>
      <w:r>
        <w:rPr>
          <w:rFonts w:hint="default" w:eastAsia="宋体"/>
          <w:color w:val="auto"/>
          <w:sz w:val="20"/>
          <w:szCs w:val="20"/>
          <w:lang w:val="en-US" w:eastAsia="zh-CN"/>
        </w:rPr>
        <w:t>TCI related enhancement for L1 part</w:t>
      </w:r>
    </w:p>
    <w:p>
      <w:pPr>
        <w:widowControl w:val="0"/>
        <w:numPr>
          <w:ilvl w:val="0"/>
          <w:numId w:val="5"/>
        </w:numPr>
        <w:ind w:left="420" w:leftChars="0" w:hanging="420" w:firstLineChars="0"/>
        <w:jc w:val="both"/>
        <w:rPr>
          <w:rFonts w:hint="default" w:eastAsia="宋体"/>
          <w:color w:val="auto"/>
          <w:sz w:val="20"/>
          <w:szCs w:val="20"/>
          <w:lang w:val="en-US" w:eastAsia="zh-CN"/>
        </w:rPr>
      </w:pPr>
      <w:r>
        <w:rPr>
          <w:rFonts w:hint="eastAsia" w:eastAsia="宋体"/>
          <w:color w:val="auto"/>
          <w:sz w:val="20"/>
          <w:szCs w:val="20"/>
          <w:lang w:val="en-US" w:eastAsia="zh-CN"/>
        </w:rPr>
        <w:t>AP RS related enhancement for L1 part</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Based on current specification, L1 part includes L1-RSRP measurement and report, TCI activation and SP/P CSI-RS configuration/activation. The aim of L1 part is to help NW for TCI determination as well as the UE fine Rx beam training. Further more, so as to help the later CSI measurement, SP/P CSI-RS configuration or activation is also consider in L1 part. In a word, L3 part is the precondition of L1 part, and L1 part is the precondition of CSI measurement and data transmission later.</w:t>
      </w:r>
    </w:p>
    <w:p>
      <w:pPr>
        <w:widowControl w:val="0"/>
        <w:numPr>
          <w:ilvl w:val="0"/>
          <w:numId w:val="5"/>
        </w:numPr>
        <w:ind w:left="420" w:leftChars="0" w:hanging="420" w:firstLineChars="0"/>
        <w:jc w:val="both"/>
        <w:rPr>
          <w:rFonts w:hint="default" w:eastAsia="宋体"/>
          <w:b w:val="0"/>
          <w:bCs w:val="0"/>
          <w:color w:val="auto"/>
          <w:sz w:val="20"/>
          <w:szCs w:val="20"/>
          <w:lang w:val="en-US" w:eastAsia="zh-CN"/>
        </w:rPr>
      </w:pPr>
      <w:r>
        <w:rPr>
          <w:rFonts w:hint="default" w:eastAsia="宋体"/>
          <w:b w:val="0"/>
          <w:bCs w:val="0"/>
          <w:color w:val="auto"/>
          <w:sz w:val="20"/>
          <w:szCs w:val="20"/>
          <w:lang w:val="en-US" w:eastAsia="zh-CN"/>
        </w:rPr>
        <w:t>Whether and how to skip L1-RSRP measurement</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Firstly we should clarify the motivation of legacy L1-RSRP measurement is to identify the best TCI state(i.e. Tx beam) so that NW can know which TCI state should be indicated to UE in later step. However during the L1-RSRP measurement, UE would do Rx beam sweeping with SSB based L1-RSRP measurement. For L1-RSRP measurement based on CSI-RS, Rx beam sweeping is not necessary since the beam sweeping factor under CSI-RS is {resource number each resource set}/UE Rx number when repetition set ON.</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Regarding to the latency reduction of L1-RSRP measurement, in fact the candidates can be categorized into two solutions:</w:t>
      </w:r>
    </w:p>
    <w:p>
      <w:pPr>
        <w:pStyle w:val="4"/>
        <w:numPr>
          <w:ilvl w:val="0"/>
          <w:numId w:val="6"/>
        </w:numPr>
        <w:ind w:left="420" w:leftChars="0" w:hanging="420" w:firstLineChars="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Solution 1: Skip L1-RSRP measurement and derive best SSB index in L3 part, </w:t>
      </w:r>
    </w:p>
    <w:p>
      <w:pPr>
        <w:pStyle w:val="4"/>
        <w:numPr>
          <w:ilvl w:val="0"/>
          <w:numId w:val="6"/>
        </w:numPr>
        <w:ind w:left="420" w:leftChars="0" w:hanging="420" w:firstLineChars="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Solution 2: Not skip L1-RSRP but reduce the beam sweeping number,  [under CSI-RS based, maybe no room to reduce]</w:t>
      </w:r>
    </w:p>
    <w:p>
      <w:pPr>
        <w:pStyle w:val="4"/>
        <w:numPr>
          <w:ilvl w:val="0"/>
          <w:numId w:val="0"/>
        </w:numPr>
        <w:ind w:left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 xml:space="preserve">Solution 1 demands all the L1 RS should be QCL-Ded with all or partial of the L3 RS, so that UE can obtain the best SSB index through L3 part. </w:t>
      </w:r>
    </w:p>
    <w:p>
      <w:pPr>
        <w:pStyle w:val="4"/>
        <w:numPr>
          <w:ilvl w:val="0"/>
          <w:numId w:val="0"/>
        </w:numPr>
        <w:ind w:left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Referring to Solution 2, UE still need to derive the best SSB index through L1-RSRP measurement, but considering UE has performed Rx beam sweeping during L3 part, UE has known some info about the better Rx beam direction, so the Rx beam sweeping can be reduced.</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So, we believe only when the two conditions are both satisfied, UE can ignore L1-RSRP measurement:</w:t>
      </w:r>
    </w:p>
    <w:p>
      <w:pPr>
        <w:pStyle w:val="4"/>
        <w:numPr>
          <w:ilvl w:val="0"/>
          <w:numId w:val="7"/>
        </w:numPr>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UE can identify Tx beam during L3 part -- L3 part includes all same RS or QCLed Type D RS used by L1 part.</w:t>
      </w:r>
    </w:p>
    <w:p>
      <w:pPr>
        <w:pStyle w:val="4"/>
        <w:numPr>
          <w:ilvl w:val="0"/>
          <w:numId w:val="7"/>
        </w:numPr>
        <w:ind w:left="0" w:leftChars="0" w:firstLine="0" w:firstLineChars="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UE can identify Rx beam during L3 part --UE has swept all Rx beam needed by L1 part during L3 part </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When the following conditions are satisfied, L1-RSRP measurement can be ignored:</w:t>
      </w:r>
    </w:p>
    <w:p>
      <w:pPr>
        <w:pStyle w:val="4"/>
        <w:numPr>
          <w:ilvl w:val="0"/>
          <w:numId w:val="8"/>
        </w:numPr>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UE can identify Tx beam during L3 part -- L3 part includes all same RS or QCLed Type D RS used by L1 part.</w:t>
      </w:r>
    </w:p>
    <w:p>
      <w:pPr>
        <w:pStyle w:val="4"/>
        <w:numPr>
          <w:ilvl w:val="0"/>
          <w:numId w:val="8"/>
        </w:numPr>
        <w:ind w:left="0" w:leftChars="0" w:firstLine="0" w:firstLine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UE can identify Rx beam during L3 part --UE has swept all Rx beam needed by L1 part during L3 part </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On the contrary, if at least one of the above condition can not be satisfied, the L1-RSRP measurement can not be ignored. Then we have to rely on Rx beam reduction to realize latency reduction for L1 part. </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For the case of the L1-RSRP measurement can be skipped, whether the L1-RSRP reporting is still necessary or not, companies</w:t>
      </w:r>
      <w:r>
        <w:rPr>
          <w:rFonts w:hint="default" w:eastAsia="宋体"/>
          <w:color w:val="auto"/>
          <w:sz w:val="20"/>
          <w:szCs w:val="20"/>
          <w:highlight w:val="none"/>
          <w:lang w:val="en-US" w:eastAsia="zh-CN"/>
        </w:rPr>
        <w:t>’</w:t>
      </w:r>
      <w:r>
        <w:rPr>
          <w:rFonts w:hint="eastAsia" w:eastAsia="宋体"/>
          <w:color w:val="auto"/>
          <w:sz w:val="20"/>
          <w:szCs w:val="20"/>
          <w:highlight w:val="none"/>
          <w:lang w:val="en-US" w:eastAsia="zh-CN"/>
        </w:rPr>
        <w:t xml:space="preserve"> views are still diverse. To our understand, if the L1-RSRP measurement can be skipped, which means the L3 measurement result during the activation procedure is enough to determine the Tx beam and Rx beam info. But if no valid L3 measurement result is reported after SCell activation command, NW is still not sure how to determine the TCI state, So the L1-RSRP report or some other report is necessary. </w:t>
      </w:r>
    </w:p>
    <w:p>
      <w:pPr>
        <w:pStyle w:val="4"/>
        <w:rPr>
          <w:rFonts w:hint="default"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 xml:space="preserve">Proposal 2: For the case of L1-RSRP measurement can be skipped while no valid L3 measurement result is reported after the SCell activation command, the L1-RSRP report or some other report is necessary. </w:t>
      </w:r>
    </w:p>
    <w:p>
      <w:pPr>
        <w:pStyle w:val="4"/>
        <w:numPr>
          <w:ilvl w:val="0"/>
          <w:numId w:val="9"/>
        </w:numPr>
        <w:ind w:left="420" w:leftChars="0" w:hanging="420" w:firstLineChars="0"/>
        <w:rPr>
          <w:rFonts w:hint="default" w:eastAsia="宋体"/>
          <w:b w:val="0"/>
          <w:bCs w:val="0"/>
          <w:color w:val="auto"/>
          <w:sz w:val="20"/>
          <w:szCs w:val="20"/>
          <w:lang w:val="en-US" w:eastAsia="zh-CN"/>
        </w:rPr>
      </w:pPr>
      <w:r>
        <w:rPr>
          <w:rFonts w:hint="default" w:eastAsia="宋体"/>
          <w:b w:val="0"/>
          <w:bCs w:val="0"/>
          <w:color w:val="auto"/>
          <w:sz w:val="20"/>
          <w:szCs w:val="20"/>
          <w:lang w:val="en-US" w:eastAsia="zh-CN"/>
        </w:rPr>
        <w:t>TCI related enhancement for L1 part</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Regarding to TCI related enhancement, the following two aspects can be discussed.</w:t>
      </w:r>
    </w:p>
    <w:p>
      <w:pPr>
        <w:pStyle w:val="4"/>
        <w:numPr>
          <w:ilvl w:val="0"/>
          <w:numId w:val="10"/>
        </w:numPr>
        <w:ind w:left="84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1</w:t>
      </w:r>
      <w:r>
        <w:rPr>
          <w:rFonts w:hint="eastAsia" w:eastAsia="宋体"/>
          <w:color w:val="auto"/>
          <w:sz w:val="20"/>
          <w:szCs w:val="20"/>
          <w:highlight w:val="none"/>
          <w:vertAlign w:val="superscript"/>
          <w:lang w:val="en-US" w:eastAsia="zh-CN"/>
        </w:rPr>
        <w:t>st</w:t>
      </w:r>
      <w:r>
        <w:rPr>
          <w:rFonts w:hint="eastAsia" w:eastAsia="宋体"/>
          <w:color w:val="auto"/>
          <w:sz w:val="20"/>
          <w:szCs w:val="20"/>
          <w:highlight w:val="none"/>
          <w:lang w:val="en-US" w:eastAsia="zh-CN"/>
        </w:rPr>
        <w:t xml:space="preserve"> aspect: Whether TCI state indication can be skipped</w:t>
      </w:r>
    </w:p>
    <w:p>
      <w:pPr>
        <w:pStyle w:val="4"/>
        <w:numPr>
          <w:ilvl w:val="0"/>
          <w:numId w:val="10"/>
        </w:numPr>
        <w:ind w:left="84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2</w:t>
      </w:r>
      <w:r>
        <w:rPr>
          <w:rFonts w:hint="eastAsia" w:eastAsia="宋体"/>
          <w:color w:val="auto"/>
          <w:sz w:val="20"/>
          <w:szCs w:val="20"/>
          <w:highlight w:val="none"/>
          <w:vertAlign w:val="superscript"/>
          <w:lang w:val="en-US" w:eastAsia="zh-CN"/>
        </w:rPr>
        <w:t>nd</w:t>
      </w:r>
      <w:r>
        <w:rPr>
          <w:rFonts w:hint="eastAsia" w:eastAsia="宋体"/>
          <w:color w:val="auto"/>
          <w:sz w:val="20"/>
          <w:szCs w:val="20"/>
          <w:highlight w:val="none"/>
          <w:lang w:val="en-US" w:eastAsia="zh-CN"/>
        </w:rPr>
        <w:t xml:space="preserve"> aspect: Whether fine time tracking for SSB corresponding to the TCI state is needed</w:t>
      </w:r>
    </w:p>
    <w:p>
      <w:pPr>
        <w:pStyle w:val="4"/>
        <w:numPr>
          <w:ilvl w:val="0"/>
          <w:numId w:val="0"/>
        </w:numPr>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For the 1</w:t>
      </w:r>
      <w:r>
        <w:rPr>
          <w:rFonts w:hint="eastAsia" w:eastAsia="宋体"/>
          <w:color w:val="auto"/>
          <w:sz w:val="20"/>
          <w:szCs w:val="20"/>
          <w:highlight w:val="none"/>
          <w:vertAlign w:val="superscript"/>
          <w:lang w:val="en-US" w:eastAsia="zh-CN"/>
        </w:rPr>
        <w:t>st</w:t>
      </w:r>
      <w:r>
        <w:rPr>
          <w:rFonts w:hint="eastAsia" w:eastAsia="宋体"/>
          <w:color w:val="auto"/>
          <w:sz w:val="20"/>
          <w:szCs w:val="20"/>
          <w:highlight w:val="none"/>
          <w:lang w:val="en-US" w:eastAsia="zh-CN"/>
        </w:rPr>
        <w:t xml:space="preserve"> aspect, to our understanding, although the TCI decision decided by NW is based on the L1/L3 measurement report from UE, which TCI to use, whether apply the current best TCI state believed by UE, it is still up to NW decision. So the TCI state indication is necessary and helpful to realize alignment between UE and NW. Furthermore, the delay reduction is quite small compared with the price of uncertainty. So we believe TCI state indication can not be skipped. </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TCI state indication can not be skipped given that the delay reduction is quite small compared with the price of uncertainty.</w:t>
      </w:r>
    </w:p>
    <w:p>
      <w:pPr>
        <w:pStyle w:val="4"/>
        <w:numPr>
          <w:ilvl w:val="0"/>
          <w:numId w:val="0"/>
        </w:numPr>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Regarding to the 2</w:t>
      </w:r>
      <w:r>
        <w:rPr>
          <w:rFonts w:hint="eastAsia" w:eastAsia="宋体"/>
          <w:color w:val="auto"/>
          <w:sz w:val="20"/>
          <w:szCs w:val="20"/>
          <w:highlight w:val="none"/>
          <w:vertAlign w:val="superscript"/>
          <w:lang w:val="en-US" w:eastAsia="zh-CN"/>
        </w:rPr>
        <w:t>nd</w:t>
      </w:r>
      <w:r>
        <w:rPr>
          <w:rFonts w:hint="eastAsia" w:eastAsia="宋体"/>
          <w:color w:val="auto"/>
          <w:sz w:val="20"/>
          <w:szCs w:val="20"/>
          <w:highlight w:val="none"/>
          <w:lang w:val="en-US" w:eastAsia="zh-CN"/>
        </w:rPr>
        <w:t xml:space="preserve"> aspect, we believe whether fine time tracking can be ignored, which depends on the already acquired timing granularity by UE. If UE has tracked enough accurate timing via L3/L1 measurement or directly reusing the timing of an inter-band active serving cell given that the side condition are met, then the fine time tracking can be ignored. Otherwise, it is still necessary.</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The fine time tracking can be ignored once the UE acquires enough accurate timing via L3/L1 parts or directly reusing the timing of an inter-band active serving cell given that the side condition are met.</w:t>
      </w:r>
    </w:p>
    <w:p>
      <w:pPr>
        <w:pStyle w:val="4"/>
        <w:numPr>
          <w:ilvl w:val="0"/>
          <w:numId w:val="9"/>
        </w:numPr>
        <w:ind w:left="420" w:leftChars="0" w:hanging="420" w:firstLineChars="0"/>
        <w:rPr>
          <w:rFonts w:hint="default" w:eastAsia="宋体"/>
          <w:b w:val="0"/>
          <w:bCs w:val="0"/>
          <w:color w:val="auto"/>
          <w:sz w:val="20"/>
          <w:szCs w:val="20"/>
          <w:lang w:val="en-US" w:eastAsia="zh-CN"/>
        </w:rPr>
      </w:pPr>
      <w:r>
        <w:rPr>
          <w:rFonts w:hint="eastAsia" w:eastAsia="宋体"/>
          <w:b w:val="0"/>
          <w:bCs w:val="0"/>
          <w:color w:val="auto"/>
          <w:sz w:val="20"/>
          <w:szCs w:val="20"/>
          <w:lang w:val="en-US" w:eastAsia="zh-CN"/>
        </w:rPr>
        <w:t>AP RS related enhancement for L1 part</w:t>
      </w:r>
    </w:p>
    <w:p>
      <w:pPr>
        <w:pStyle w:val="4"/>
        <w:numPr>
          <w:ilvl w:val="0"/>
          <w:numId w:val="0"/>
        </w:numPr>
        <w:spacing w:after="120"/>
        <w:jc w:val="both"/>
        <w:rPr>
          <w:rFonts w:hint="eastAsia" w:eastAsia="宋体"/>
          <w:b w:val="0"/>
          <w:bCs w:val="0"/>
          <w:color w:val="auto"/>
          <w:sz w:val="20"/>
          <w:szCs w:val="20"/>
          <w:lang w:val="en-US" w:eastAsia="zh-CN"/>
        </w:rPr>
      </w:pPr>
      <w:r>
        <w:rPr>
          <w:rFonts w:hint="eastAsia" w:eastAsia="宋体"/>
          <w:b w:val="0"/>
          <w:bCs w:val="0"/>
          <w:color w:val="auto"/>
          <w:sz w:val="20"/>
          <w:szCs w:val="20"/>
          <w:lang w:val="en-US" w:eastAsia="zh-CN"/>
        </w:rPr>
        <w:t>Around the AP RS related enhancements, applying AP RS fro L1-RSRP measurement has been deprioritized in 106 meeting, so only one issue to confirm, i.e. whether applying AP RS to perform fine time tracking instead of SSB based.</w:t>
      </w:r>
    </w:p>
    <w:p>
      <w:pPr>
        <w:pStyle w:val="4"/>
        <w:numPr>
          <w:ilvl w:val="0"/>
          <w:numId w:val="0"/>
        </w:numPr>
        <w:spacing w:after="120"/>
        <w:jc w:val="both"/>
        <w:rPr>
          <w:rFonts w:hint="default" w:eastAsia="宋体"/>
          <w:b w:val="0"/>
          <w:bCs w:val="0"/>
          <w:color w:val="auto"/>
          <w:sz w:val="20"/>
          <w:szCs w:val="20"/>
          <w:lang w:val="en-US" w:eastAsia="zh-CN"/>
        </w:rPr>
      </w:pPr>
      <w:r>
        <w:rPr>
          <w:rFonts w:hint="eastAsia" w:eastAsia="宋体"/>
          <w:b w:val="0"/>
          <w:bCs w:val="0"/>
          <w:color w:val="auto"/>
          <w:sz w:val="20"/>
          <w:szCs w:val="20"/>
          <w:lang w:val="en-US" w:eastAsia="zh-CN"/>
        </w:rPr>
        <w:t>In R17 fast SCell activation, the AP RS is allowed to be used for fine time tracking under some conditions met. To our understand, once the NW can determine the QCL info for the AP RS configuration, use AP RS instead of SSB to perform fine time tracking would reduce the latency. It should be noted that in 104bis meeting, RAN4 has already approved the following agreement. So the AP RS based fine time tracking should be supported.</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2" w:type="dxa"/>
          </w:tcPr>
          <w:p>
            <w:pPr>
              <w:spacing w:after="180"/>
              <w:rPr>
                <w:rFonts w:eastAsia="宋体"/>
                <w:bCs/>
                <w:sz w:val="20"/>
                <w:szCs w:val="20"/>
                <w:u w:val="single"/>
              </w:rPr>
            </w:pPr>
            <w:r>
              <w:rPr>
                <w:rFonts w:eastAsia="宋体"/>
                <w:bCs/>
                <w:sz w:val="20"/>
                <w:szCs w:val="20"/>
                <w:u w:val="single"/>
                <w:lang w:eastAsia="ko-KR"/>
              </w:rPr>
              <w:t>Issue 3-3-1: Aperiodic RS for T</w:t>
            </w:r>
            <w:r>
              <w:rPr>
                <w:rFonts w:eastAsia="宋体"/>
                <w:bCs/>
                <w:sz w:val="20"/>
                <w:szCs w:val="20"/>
                <w:u w:val="single"/>
                <w:vertAlign w:val="subscript"/>
                <w:lang w:eastAsia="ko-KR"/>
              </w:rPr>
              <w:t>FineTiming</w:t>
            </w:r>
            <w:r>
              <w:rPr>
                <w:rFonts w:eastAsia="宋体"/>
                <w:bCs/>
                <w:sz w:val="20"/>
                <w:szCs w:val="20"/>
                <w:u w:val="single"/>
                <w:lang w:eastAsia="ko-KR"/>
              </w:rPr>
              <w:t xml:space="preserve"> during FR2 </w:t>
            </w:r>
            <w:r>
              <w:rPr>
                <w:rFonts w:eastAsia="宋体"/>
                <w:bCs/>
                <w:sz w:val="20"/>
                <w:szCs w:val="20"/>
                <w:u w:val="single"/>
              </w:rPr>
              <w:t xml:space="preserve">unknown </w:t>
            </w:r>
            <w:r>
              <w:rPr>
                <w:rFonts w:eastAsia="宋体"/>
                <w:bCs/>
                <w:sz w:val="20"/>
                <w:szCs w:val="20"/>
                <w:u w:val="single"/>
                <w:lang w:eastAsia="ko-KR"/>
              </w:rPr>
              <w:t>SCell activation</w:t>
            </w:r>
          </w:p>
          <w:p>
            <w:pPr>
              <w:spacing w:after="180"/>
              <w:rPr>
                <w:rFonts w:eastAsia="宋体"/>
                <w:bCs/>
                <w:sz w:val="20"/>
                <w:szCs w:val="20"/>
                <w:lang w:eastAsia="ko-KR"/>
              </w:rPr>
            </w:pPr>
            <w:r>
              <w:rPr>
                <w:rFonts w:eastAsia="宋体"/>
                <w:bCs/>
                <w:sz w:val="20"/>
                <w:szCs w:val="20"/>
                <w:highlight w:val="green"/>
                <w:lang w:eastAsia="ko-KR"/>
              </w:rPr>
              <w:t>Agreement</w:t>
            </w:r>
            <w:r>
              <w:rPr>
                <w:rFonts w:eastAsia="宋体"/>
                <w:bCs/>
                <w:sz w:val="20"/>
                <w:szCs w:val="20"/>
                <w:lang w:eastAsia="ko-KR"/>
              </w:rPr>
              <w:t>:</w:t>
            </w:r>
          </w:p>
          <w:p>
            <w:pPr>
              <w:numPr>
                <w:ilvl w:val="0"/>
                <w:numId w:val="3"/>
              </w:numPr>
              <w:spacing w:after="120"/>
              <w:rPr>
                <w:rFonts w:eastAsia="宋体"/>
                <w:bCs/>
              </w:rPr>
            </w:pPr>
            <w:r>
              <w:rPr>
                <w:rFonts w:eastAsia="宋体"/>
                <w:bCs/>
                <w:sz w:val="20"/>
                <w:szCs w:val="20"/>
              </w:rPr>
              <w:t>A-TRS can be configured for fine timing tracking after TCI state activation, and the A-TRS is QCL-ed with the selected SSB index.</w:t>
            </w:r>
            <w:r>
              <w:rPr>
                <w:rFonts w:eastAsia="宋体"/>
                <w:bCs/>
              </w:rPr>
              <w:t xml:space="preserve"> </w:t>
            </w:r>
          </w:p>
        </w:tc>
      </w:tr>
    </w:tbl>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Being consistent with the previous agreements, AP RS can be used for fine time tracking after TCI state indication.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4"/>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 xml:space="preserve">unknown </w:t>
      </w:r>
      <w:r>
        <w:rPr>
          <w:rFonts w:hint="eastAsia" w:eastAsia="宋体"/>
          <w:color w:val="auto"/>
          <w:sz w:val="20"/>
          <w:szCs w:val="20"/>
          <w:lang w:val="en-US" w:eastAsia="zh-CN"/>
        </w:rPr>
        <w:t>FR2 SCell activation delay reduction</w:t>
      </w:r>
      <w:r>
        <w:rPr>
          <w:rFonts w:eastAsia="宋体"/>
          <w:bCs/>
          <w:color w:val="auto"/>
          <w:sz w:val="20"/>
          <w:szCs w:val="20"/>
          <w:lang w:val="en-GB" w:eastAsia="zh-CN"/>
        </w:rPr>
        <w:t>:</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When the following conditions are satisfied, L1-RSRP measurement can be ignored:</w:t>
      </w:r>
    </w:p>
    <w:p>
      <w:pPr>
        <w:pStyle w:val="4"/>
        <w:numPr>
          <w:ilvl w:val="0"/>
          <w:numId w:val="11"/>
        </w:numPr>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UE can identify Tx beam during L3 part -- L3 part includes all same RS or QCLed Type D RS used by L1 part.</w:t>
      </w:r>
    </w:p>
    <w:p>
      <w:pPr>
        <w:pStyle w:val="4"/>
        <w:numPr>
          <w:ilvl w:val="0"/>
          <w:numId w:val="11"/>
        </w:numPr>
        <w:ind w:left="0" w:leftChars="0" w:firstLine="0" w:firstLine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UE can identify Rx beam during L3 part --UE has swept all Rx beam needed by L1 part during L3 part </w:t>
      </w:r>
    </w:p>
    <w:p>
      <w:pPr>
        <w:pStyle w:val="4"/>
        <w:rPr>
          <w:rFonts w:hint="default"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 xml:space="preserve">Proposal 2: For the case of L1-RSRP measurement can be skipped while no valid L3 measurement result is reported after the SCell activation command, the L1-RSRP report or some other report is necessary. </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TCI state indication can not be skipped given that the delay reduction is quite small compared with the price of uncertainty.</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The fine time tracking can be ignored once the UE acquires enough accurate timing via L3/L1 parts or directly reusing the timing of an inter-band active serving cell given that the side condition are met.</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Being consistent with the previous agreements, AP RS can be used for fine time tracking after TCI state indication.</w:t>
      </w:r>
    </w:p>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0"/>
        </w:numPr>
        <w:ind w:leftChars="0"/>
        <w:rPr>
          <w:rFonts w:hint="default"/>
          <w:color w:val="auto"/>
          <w:lang w:val="en-US" w:eastAsia="zh-CN"/>
        </w:rPr>
      </w:pPr>
      <w:r>
        <w:rPr>
          <w:rFonts w:hint="eastAsia"/>
          <w:color w:val="auto"/>
          <w:lang w:val="en-US" w:eastAsia="zh-CN"/>
        </w:rPr>
        <w:t xml:space="preserve">[1] R4-2303228 </w:t>
      </w:r>
      <w:r>
        <w:rPr>
          <w:rFonts w:hint="default"/>
          <w:color w:val="auto"/>
          <w:lang w:val="en-US" w:eastAsia="zh-CN"/>
        </w:rPr>
        <w:t>“Way forward on R18 RRM enhancement (part 1)”</w:t>
      </w:r>
      <w:r>
        <w:rPr>
          <w:rFonts w:hint="eastAsia"/>
          <w:color w:val="auto"/>
          <w:lang w:val="en-US" w:eastAsia="zh-CN"/>
        </w:rPr>
        <w:t>, Apple</w:t>
      </w: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60AFB9"/>
    <w:multiLevelType w:val="singleLevel"/>
    <w:tmpl w:val="9460AFB9"/>
    <w:lvl w:ilvl="0" w:tentative="0">
      <w:start w:val="1"/>
      <w:numFmt w:val="decimal"/>
      <w:suff w:val="space"/>
      <w:lvlText w:val="%1)"/>
      <w:lvlJc w:val="left"/>
    </w:lvl>
  </w:abstractNum>
  <w:abstractNum w:abstractNumId="1">
    <w:nsid w:val="B3D4DDB9"/>
    <w:multiLevelType w:val="multilevel"/>
    <w:tmpl w:val="B3D4DDB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MS Mincho" w:hAnsi="MS Mincho"/>
      </w:rPr>
    </w:lvl>
    <w:lvl w:ilvl="2" w:tentative="0">
      <w:start w:val="1"/>
      <w:numFmt w:val="bullet"/>
      <w:lvlText w:val=""/>
      <w:lvlJc w:val="left"/>
      <w:pPr>
        <w:tabs>
          <w:tab w:val="left" w:pos="1260"/>
        </w:tabs>
        <w:ind w:left="1260" w:leftChars="0" w:hanging="420" w:firstLineChars="0"/>
      </w:pPr>
      <w:rPr>
        <w:rFonts w:hint="default" w:ascii="MS Mincho" w:hAnsi="MS Mincho"/>
      </w:rPr>
    </w:lvl>
    <w:lvl w:ilvl="3" w:tentative="0">
      <w:start w:val="1"/>
      <w:numFmt w:val="bullet"/>
      <w:lvlText w:val=""/>
      <w:lvlJc w:val="left"/>
      <w:pPr>
        <w:tabs>
          <w:tab w:val="left" w:pos="1680"/>
        </w:tabs>
        <w:ind w:left="1680" w:leftChars="0" w:hanging="420" w:firstLineChars="0"/>
      </w:pPr>
      <w:rPr>
        <w:rFonts w:hint="default" w:ascii="MS Mincho" w:hAnsi="MS Mincho"/>
      </w:rPr>
    </w:lvl>
    <w:lvl w:ilvl="4" w:tentative="0">
      <w:start w:val="1"/>
      <w:numFmt w:val="bullet"/>
      <w:lvlText w:val=""/>
      <w:lvlJc w:val="left"/>
      <w:pPr>
        <w:tabs>
          <w:tab w:val="left" w:pos="2100"/>
        </w:tabs>
        <w:ind w:left="2100" w:leftChars="0" w:hanging="420" w:firstLineChars="0"/>
      </w:pPr>
      <w:rPr>
        <w:rFonts w:hint="default" w:ascii="MS Mincho" w:hAnsi="MS Mincho"/>
      </w:rPr>
    </w:lvl>
    <w:lvl w:ilvl="5" w:tentative="0">
      <w:start w:val="1"/>
      <w:numFmt w:val="bullet"/>
      <w:lvlText w:val=""/>
      <w:lvlJc w:val="left"/>
      <w:pPr>
        <w:tabs>
          <w:tab w:val="left" w:pos="2520"/>
        </w:tabs>
        <w:ind w:left="2520" w:leftChars="0" w:hanging="420" w:firstLineChars="0"/>
      </w:pPr>
      <w:rPr>
        <w:rFonts w:hint="default" w:ascii="MS Mincho" w:hAnsi="MS Mincho"/>
      </w:rPr>
    </w:lvl>
    <w:lvl w:ilvl="6" w:tentative="0">
      <w:start w:val="1"/>
      <w:numFmt w:val="bullet"/>
      <w:lvlText w:val=""/>
      <w:lvlJc w:val="left"/>
      <w:pPr>
        <w:tabs>
          <w:tab w:val="left" w:pos="2940"/>
        </w:tabs>
        <w:ind w:left="2940" w:leftChars="0" w:hanging="420" w:firstLineChars="0"/>
      </w:pPr>
      <w:rPr>
        <w:rFonts w:hint="default" w:ascii="MS Mincho" w:hAnsi="MS Mincho"/>
      </w:rPr>
    </w:lvl>
    <w:lvl w:ilvl="7" w:tentative="0">
      <w:start w:val="1"/>
      <w:numFmt w:val="bullet"/>
      <w:lvlText w:val=""/>
      <w:lvlJc w:val="left"/>
      <w:pPr>
        <w:tabs>
          <w:tab w:val="left" w:pos="3360"/>
        </w:tabs>
        <w:ind w:left="3360" w:leftChars="0" w:hanging="420" w:firstLineChars="0"/>
      </w:pPr>
      <w:rPr>
        <w:rFonts w:hint="default" w:ascii="MS Mincho" w:hAnsi="MS Mincho"/>
      </w:rPr>
    </w:lvl>
    <w:lvl w:ilvl="8" w:tentative="0">
      <w:start w:val="1"/>
      <w:numFmt w:val="bullet"/>
      <w:lvlText w:val=""/>
      <w:lvlJc w:val="left"/>
      <w:pPr>
        <w:tabs>
          <w:tab w:val="left" w:pos="3780"/>
        </w:tabs>
        <w:ind w:left="3780" w:leftChars="0" w:hanging="420" w:firstLineChars="0"/>
      </w:pPr>
      <w:rPr>
        <w:rFonts w:hint="default" w:ascii="MS Mincho" w:hAnsi="MS Mincho"/>
      </w:rPr>
    </w:lvl>
  </w:abstractNum>
  <w:abstractNum w:abstractNumId="2">
    <w:nsid w:val="F911E0FB"/>
    <w:multiLevelType w:val="singleLevel"/>
    <w:tmpl w:val="F911E0FB"/>
    <w:lvl w:ilvl="0" w:tentative="0">
      <w:start w:val="1"/>
      <w:numFmt w:val="bullet"/>
      <w:lvlText w:val=""/>
      <w:lvlJc w:val="left"/>
      <w:pPr>
        <w:tabs>
          <w:tab w:val="left" w:pos="420"/>
        </w:tabs>
        <w:ind w:left="840" w:hanging="420"/>
      </w:pPr>
      <w:rPr>
        <w:rFonts w:hint="default" w:ascii="Wingdings" w:hAnsi="Wingdings"/>
      </w:rPr>
    </w:lvl>
  </w:abstractNum>
  <w:abstractNum w:abstractNumId="3">
    <w:nsid w:val="0BE45566"/>
    <w:multiLevelType w:val="singleLevel"/>
    <w:tmpl w:val="0BE45566"/>
    <w:lvl w:ilvl="0" w:tentative="0">
      <w:start w:val="1"/>
      <w:numFmt w:val="decimal"/>
      <w:suff w:val="space"/>
      <w:lvlText w:val="%1)"/>
      <w:lvlJc w:val="left"/>
    </w:lvl>
  </w:abstractNum>
  <w:abstractNum w:abstractNumId="4">
    <w:nsid w:val="180F44FF"/>
    <w:multiLevelType w:val="singleLevel"/>
    <w:tmpl w:val="180F44FF"/>
    <w:lvl w:ilvl="0" w:tentative="0">
      <w:start w:val="1"/>
      <w:numFmt w:val="bullet"/>
      <w:lvlText w:val=""/>
      <w:lvlJc w:val="left"/>
      <w:pPr>
        <w:ind w:left="420" w:hanging="420"/>
      </w:pPr>
      <w:rPr>
        <w:rFonts w:hint="default" w:ascii="Wingdings" w:hAnsi="Wingdings"/>
      </w:rPr>
    </w:lvl>
  </w:abstractNum>
  <w:abstractNum w:abstractNumId="5">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pStyle w:val="58"/>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633DAFD3"/>
    <w:multiLevelType w:val="singleLevel"/>
    <w:tmpl w:val="633DAFD3"/>
    <w:lvl w:ilvl="0" w:tentative="0">
      <w:start w:val="1"/>
      <w:numFmt w:val="decimal"/>
      <w:suff w:val="space"/>
      <w:lvlText w:val="%1)"/>
      <w:lvlJc w:val="left"/>
    </w:lvl>
  </w:abstractNum>
  <w:abstractNum w:abstractNumId="9">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0">
    <w:nsid w:val="775469E8"/>
    <w:multiLevelType w:val="singleLevel"/>
    <w:tmpl w:val="775469E8"/>
    <w:lvl w:ilvl="0" w:tentative="0">
      <w:start w:val="1"/>
      <w:numFmt w:val="bullet"/>
      <w:lvlText w:val=""/>
      <w:lvlJc w:val="left"/>
      <w:pPr>
        <w:ind w:left="420" w:hanging="420"/>
      </w:pPr>
      <w:rPr>
        <w:rFonts w:hint="default" w:ascii="Wingdings" w:hAnsi="Wingdings"/>
      </w:rPr>
    </w:lvl>
  </w:abstractNum>
  <w:num w:numId="1">
    <w:abstractNumId w:val="9"/>
  </w:num>
  <w:num w:numId="2">
    <w:abstractNumId w:val="6"/>
  </w:num>
  <w:num w:numId="3">
    <w:abstractNumId w:val="7"/>
  </w:num>
  <w:num w:numId="4">
    <w:abstractNumId w:val="5"/>
  </w:num>
  <w:num w:numId="5">
    <w:abstractNumId w:val="1"/>
  </w:num>
  <w:num w:numId="6">
    <w:abstractNumId w:val="4"/>
  </w:num>
  <w:num w:numId="7">
    <w:abstractNumId w:val="0"/>
  </w:num>
  <w:num w:numId="8">
    <w:abstractNumId w:val="8"/>
  </w:num>
  <w:num w:numId="9">
    <w:abstractNumId w:val="10"/>
  </w:num>
  <w:num w:numId="10">
    <w:abstractNumId w:val="2"/>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36747A"/>
    <w:rsid w:val="037D0CB3"/>
    <w:rsid w:val="037E115D"/>
    <w:rsid w:val="03D4720A"/>
    <w:rsid w:val="045E4196"/>
    <w:rsid w:val="04654053"/>
    <w:rsid w:val="04793516"/>
    <w:rsid w:val="047A3CFF"/>
    <w:rsid w:val="05317828"/>
    <w:rsid w:val="05477E90"/>
    <w:rsid w:val="05BB5AB9"/>
    <w:rsid w:val="05C42923"/>
    <w:rsid w:val="06963BA6"/>
    <w:rsid w:val="07CD3CDD"/>
    <w:rsid w:val="0855671D"/>
    <w:rsid w:val="089009EB"/>
    <w:rsid w:val="09716BCA"/>
    <w:rsid w:val="09B3433F"/>
    <w:rsid w:val="09D64B23"/>
    <w:rsid w:val="09E644B8"/>
    <w:rsid w:val="0B12013A"/>
    <w:rsid w:val="0B3D3C2F"/>
    <w:rsid w:val="0BB0429A"/>
    <w:rsid w:val="0BFF5FC6"/>
    <w:rsid w:val="0C394019"/>
    <w:rsid w:val="0D2A60F1"/>
    <w:rsid w:val="0F6125A7"/>
    <w:rsid w:val="100E2F6A"/>
    <w:rsid w:val="109068D9"/>
    <w:rsid w:val="10997F43"/>
    <w:rsid w:val="10DE7BAE"/>
    <w:rsid w:val="120774A3"/>
    <w:rsid w:val="14006D19"/>
    <w:rsid w:val="14337DBF"/>
    <w:rsid w:val="14624C4F"/>
    <w:rsid w:val="1481754F"/>
    <w:rsid w:val="148F5721"/>
    <w:rsid w:val="14AC57CD"/>
    <w:rsid w:val="15ED3E9B"/>
    <w:rsid w:val="164514BE"/>
    <w:rsid w:val="170F06AA"/>
    <w:rsid w:val="17225508"/>
    <w:rsid w:val="180A6E32"/>
    <w:rsid w:val="183F2CD2"/>
    <w:rsid w:val="1856323E"/>
    <w:rsid w:val="18A03D69"/>
    <w:rsid w:val="18AF55E3"/>
    <w:rsid w:val="18B1519A"/>
    <w:rsid w:val="18CD0507"/>
    <w:rsid w:val="195D7D48"/>
    <w:rsid w:val="1AD01A1B"/>
    <w:rsid w:val="1B61065A"/>
    <w:rsid w:val="1BBF3927"/>
    <w:rsid w:val="1C177B08"/>
    <w:rsid w:val="1C9001C6"/>
    <w:rsid w:val="1CBA2101"/>
    <w:rsid w:val="1D0573D7"/>
    <w:rsid w:val="1D153DC4"/>
    <w:rsid w:val="1D223E0B"/>
    <w:rsid w:val="1DBA66A7"/>
    <w:rsid w:val="1E132F88"/>
    <w:rsid w:val="1E2867E9"/>
    <w:rsid w:val="1E853F6F"/>
    <w:rsid w:val="1E9C7BCC"/>
    <w:rsid w:val="1ECC1E3C"/>
    <w:rsid w:val="20933D8F"/>
    <w:rsid w:val="21014C39"/>
    <w:rsid w:val="21244EB1"/>
    <w:rsid w:val="213964D8"/>
    <w:rsid w:val="21595D04"/>
    <w:rsid w:val="21913061"/>
    <w:rsid w:val="21AB6B93"/>
    <w:rsid w:val="21F13629"/>
    <w:rsid w:val="2305377E"/>
    <w:rsid w:val="24122135"/>
    <w:rsid w:val="24D4257E"/>
    <w:rsid w:val="25490B44"/>
    <w:rsid w:val="2572202B"/>
    <w:rsid w:val="2605683C"/>
    <w:rsid w:val="26453B8D"/>
    <w:rsid w:val="269452A9"/>
    <w:rsid w:val="26BB1419"/>
    <w:rsid w:val="27B748AA"/>
    <w:rsid w:val="27CB4CB9"/>
    <w:rsid w:val="281C2F58"/>
    <w:rsid w:val="29642C4B"/>
    <w:rsid w:val="296569C3"/>
    <w:rsid w:val="2A34628C"/>
    <w:rsid w:val="2A724D05"/>
    <w:rsid w:val="2A7E505C"/>
    <w:rsid w:val="2AC85686"/>
    <w:rsid w:val="2AD04B5F"/>
    <w:rsid w:val="2AF821D7"/>
    <w:rsid w:val="2B2B515F"/>
    <w:rsid w:val="2BC05B2C"/>
    <w:rsid w:val="2BD617C5"/>
    <w:rsid w:val="2C112837"/>
    <w:rsid w:val="2CAE0227"/>
    <w:rsid w:val="2E014790"/>
    <w:rsid w:val="2E082A14"/>
    <w:rsid w:val="2EE77680"/>
    <w:rsid w:val="2F2F0FC8"/>
    <w:rsid w:val="301C6BB6"/>
    <w:rsid w:val="30571E20"/>
    <w:rsid w:val="319708F2"/>
    <w:rsid w:val="31B14C9E"/>
    <w:rsid w:val="33C423E0"/>
    <w:rsid w:val="33C522D7"/>
    <w:rsid w:val="34807672"/>
    <w:rsid w:val="34921EC4"/>
    <w:rsid w:val="34A82967"/>
    <w:rsid w:val="35B06C6A"/>
    <w:rsid w:val="35D66E1C"/>
    <w:rsid w:val="36941AA2"/>
    <w:rsid w:val="36D37423"/>
    <w:rsid w:val="379D23F9"/>
    <w:rsid w:val="3A185287"/>
    <w:rsid w:val="3A1F46B8"/>
    <w:rsid w:val="3A5649A6"/>
    <w:rsid w:val="3A692CD0"/>
    <w:rsid w:val="3A6E26ED"/>
    <w:rsid w:val="3B270929"/>
    <w:rsid w:val="3B3D5571"/>
    <w:rsid w:val="3B673620"/>
    <w:rsid w:val="3B9A1F29"/>
    <w:rsid w:val="3CE4646B"/>
    <w:rsid w:val="3D5E7AA8"/>
    <w:rsid w:val="3D636B36"/>
    <w:rsid w:val="3D6F2596"/>
    <w:rsid w:val="3F836EE6"/>
    <w:rsid w:val="405F175E"/>
    <w:rsid w:val="40845BF3"/>
    <w:rsid w:val="40C765F3"/>
    <w:rsid w:val="41A2534B"/>
    <w:rsid w:val="42F869D2"/>
    <w:rsid w:val="43111A9B"/>
    <w:rsid w:val="43285B25"/>
    <w:rsid w:val="43553536"/>
    <w:rsid w:val="442108FB"/>
    <w:rsid w:val="443A3304"/>
    <w:rsid w:val="44972678"/>
    <w:rsid w:val="44E85A06"/>
    <w:rsid w:val="451632B9"/>
    <w:rsid w:val="453608EA"/>
    <w:rsid w:val="457B4C4B"/>
    <w:rsid w:val="45906394"/>
    <w:rsid w:val="45F60A50"/>
    <w:rsid w:val="46142D0C"/>
    <w:rsid w:val="468A3004"/>
    <w:rsid w:val="46970A81"/>
    <w:rsid w:val="4697115A"/>
    <w:rsid w:val="46B036BF"/>
    <w:rsid w:val="47282363"/>
    <w:rsid w:val="49DC4EAC"/>
    <w:rsid w:val="49E55BC5"/>
    <w:rsid w:val="4BF24EEB"/>
    <w:rsid w:val="4C1C63D6"/>
    <w:rsid w:val="4C864A35"/>
    <w:rsid w:val="4CD61886"/>
    <w:rsid w:val="4E015C76"/>
    <w:rsid w:val="4E310026"/>
    <w:rsid w:val="4E4A2325"/>
    <w:rsid w:val="4E6F5CE5"/>
    <w:rsid w:val="4F5C5331"/>
    <w:rsid w:val="501A6C55"/>
    <w:rsid w:val="505E1A7C"/>
    <w:rsid w:val="50A9367F"/>
    <w:rsid w:val="51B14BED"/>
    <w:rsid w:val="52526454"/>
    <w:rsid w:val="525C1CEF"/>
    <w:rsid w:val="528B5767"/>
    <w:rsid w:val="52D33625"/>
    <w:rsid w:val="53A3105E"/>
    <w:rsid w:val="53C64B93"/>
    <w:rsid w:val="54283FDA"/>
    <w:rsid w:val="548A6C60"/>
    <w:rsid w:val="5518672E"/>
    <w:rsid w:val="55B1164D"/>
    <w:rsid w:val="55B4735E"/>
    <w:rsid w:val="55BB221D"/>
    <w:rsid w:val="55F52EA4"/>
    <w:rsid w:val="56371459"/>
    <w:rsid w:val="56484633"/>
    <w:rsid w:val="568A2F02"/>
    <w:rsid w:val="575B2784"/>
    <w:rsid w:val="58B15E32"/>
    <w:rsid w:val="58D0053D"/>
    <w:rsid w:val="598C40A0"/>
    <w:rsid w:val="59B13A33"/>
    <w:rsid w:val="59DA647E"/>
    <w:rsid w:val="5A556E1A"/>
    <w:rsid w:val="5BCD6EB0"/>
    <w:rsid w:val="5C876D53"/>
    <w:rsid w:val="5CB33A6F"/>
    <w:rsid w:val="5E2864D0"/>
    <w:rsid w:val="5E494511"/>
    <w:rsid w:val="5E681B37"/>
    <w:rsid w:val="5EB44FC0"/>
    <w:rsid w:val="5FBA395F"/>
    <w:rsid w:val="606A3558"/>
    <w:rsid w:val="60EC2CBA"/>
    <w:rsid w:val="61CC2D28"/>
    <w:rsid w:val="63011CA4"/>
    <w:rsid w:val="635902CD"/>
    <w:rsid w:val="635E6E54"/>
    <w:rsid w:val="64706BBE"/>
    <w:rsid w:val="64F2095B"/>
    <w:rsid w:val="665B20C2"/>
    <w:rsid w:val="67A858DB"/>
    <w:rsid w:val="67FE4166"/>
    <w:rsid w:val="68464AFD"/>
    <w:rsid w:val="68C401C3"/>
    <w:rsid w:val="69A833BD"/>
    <w:rsid w:val="6AB215EC"/>
    <w:rsid w:val="6C125A96"/>
    <w:rsid w:val="6C293B94"/>
    <w:rsid w:val="6D566F0F"/>
    <w:rsid w:val="6D836F72"/>
    <w:rsid w:val="6D944C6F"/>
    <w:rsid w:val="6DDE3DAF"/>
    <w:rsid w:val="6E3241BE"/>
    <w:rsid w:val="6EB97A9D"/>
    <w:rsid w:val="6EF10A90"/>
    <w:rsid w:val="6EF77781"/>
    <w:rsid w:val="6F7F3578"/>
    <w:rsid w:val="6FFF1868"/>
    <w:rsid w:val="701E650F"/>
    <w:rsid w:val="715F4C2D"/>
    <w:rsid w:val="722F78FB"/>
    <w:rsid w:val="723D67C5"/>
    <w:rsid w:val="72BF60CA"/>
    <w:rsid w:val="72F41282"/>
    <w:rsid w:val="733D0D32"/>
    <w:rsid w:val="734814F1"/>
    <w:rsid w:val="73D411F1"/>
    <w:rsid w:val="753811DE"/>
    <w:rsid w:val="75BE67D4"/>
    <w:rsid w:val="75C2004C"/>
    <w:rsid w:val="75C759C1"/>
    <w:rsid w:val="762D64F3"/>
    <w:rsid w:val="766B63D6"/>
    <w:rsid w:val="767E7EFF"/>
    <w:rsid w:val="775B4604"/>
    <w:rsid w:val="77C067C3"/>
    <w:rsid w:val="783F569F"/>
    <w:rsid w:val="78911E31"/>
    <w:rsid w:val="7922350F"/>
    <w:rsid w:val="792B5470"/>
    <w:rsid w:val="7A9367CB"/>
    <w:rsid w:val="7AC62F94"/>
    <w:rsid w:val="7AF22571"/>
    <w:rsid w:val="7B69224B"/>
    <w:rsid w:val="7BE80F25"/>
    <w:rsid w:val="7C1C35A7"/>
    <w:rsid w:val="7C45431D"/>
    <w:rsid w:val="7D3219D5"/>
    <w:rsid w:val="7DDD0501"/>
    <w:rsid w:val="7DE51372"/>
    <w:rsid w:val="7DFF100D"/>
    <w:rsid w:val="7E5E590F"/>
    <w:rsid w:val="7E935AFB"/>
    <w:rsid w:val="7F200765"/>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2"/>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9"/>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3"/>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right" w:pos="8306"/>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4"/>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6"/>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5"/>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B2"/>
    <w:basedOn w:val="9"/>
    <w:qFormat/>
    <w:uiPriority w:val="0"/>
  </w:style>
  <w:style w:type="paragraph" w:customStyle="1" w:styleId="58">
    <w:name w:val="样式3"/>
    <w:basedOn w:val="28"/>
    <w:qFormat/>
    <w:uiPriority w:val="0"/>
    <w:pPr>
      <w:numPr>
        <w:ilvl w:val="1"/>
        <w:numId w:val="3"/>
      </w:numPr>
      <w:tabs>
        <w:tab w:val="left" w:pos="-840"/>
      </w:tabs>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2023-05-15T13:02:39Z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